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ED" w:rsidRDefault="000744ED" w:rsidP="000744ED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Внесены изменения в Земельный кодекс Российской федерации.</w:t>
      </w:r>
    </w:p>
    <w:p w:rsidR="000744ED" w:rsidRDefault="000744ED" w:rsidP="000744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Обновлены положения Земельного кодекса Российской Федерации в части кадастрового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учета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0744ED" w:rsidRDefault="000744ED" w:rsidP="000744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30"/>
          <w:szCs w:val="30"/>
        </w:rPr>
        <w:t>В частности,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кадастровому инженеру, выполнившему кадастровые работы в целях образования земельного участка, на котором расположены многоквартирный дом и иные, входящие в состав такого дома, объекты недвижимого имущества, предоставлено право обращаться с заявлением о государственном кадастровом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учете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образованного земельного участка без получения доверенности или иного уполномочивающего документа от уполномоченного органа.</w:t>
      </w:r>
    </w:p>
    <w:p w:rsidR="000744ED" w:rsidRDefault="000744ED" w:rsidP="000744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 новой редакции ст. 39.26 Земельного кодекса Российской Федерации государственный кадастровый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учет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части земельного участка, в отношении которой устанавливается сервитут,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случае,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участка.</w:t>
      </w:r>
    </w:p>
    <w:p w:rsidR="000744ED" w:rsidRDefault="000744ED" w:rsidP="000744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Новой редакцией ст. 39.29 Земельного кодекса Российской Федерации предусмотрено,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что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если в Едином государственном реестре недвижимости (ЕГРН) отсутствуют сведения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это не является основанием для отказа в заключении соглашения о перераспределении земельных участков. Заявитель обеспечивает выполнение кадастровых работ в целях государственного кадастрового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учета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земельного участка, право собственности на который он приобретает, и обращается с заявлением о государственном кадастровом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учете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такого земельного участка. Установлено, что земельный участок, находящийся в государственной или муниципальной собственности, сохраняется в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измененных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границах (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измененный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земельный участок).</w:t>
      </w:r>
    </w:p>
    <w:p w:rsidR="000744ED" w:rsidRDefault="000744ED" w:rsidP="000744ED"/>
    <w:p w:rsidR="000744ED" w:rsidRDefault="000744ED" w:rsidP="000744ED"/>
    <w:p w:rsidR="000744ED" w:rsidRDefault="000744ED" w:rsidP="000744ED">
      <w:r>
        <w:rPr>
          <w:rFonts w:ascii="Times New Roman" w:hAnsi="Times New Roman"/>
          <w:color w:val="333333"/>
          <w:sz w:val="28"/>
          <w:szCs w:val="28"/>
        </w:rPr>
        <w:t>Статья подготовлена прокуратурой г. Дербента.</w:t>
      </w:r>
    </w:p>
    <w:p w:rsidR="00471710" w:rsidRDefault="00471710">
      <w:bookmarkStart w:id="0" w:name="_GoBack"/>
      <w:bookmarkEnd w:id="0"/>
    </w:p>
    <w:sectPr w:rsidR="0047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ED"/>
    <w:rsid w:val="000744ED"/>
    <w:rsid w:val="004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DAA6D-8E5F-4CAA-BD29-41665290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2021-09-07T12:06:00Z</dcterms:created>
  <dcterms:modified xsi:type="dcterms:W3CDTF">2021-09-07T12:06:00Z</dcterms:modified>
</cp:coreProperties>
</file>